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E1B8" w14:textId="77777777" w:rsidR="00FD6213" w:rsidRPr="006F775D" w:rsidRDefault="00285495" w:rsidP="00FD6213">
      <w:pPr>
        <w:spacing w:before="0"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noProof/>
          <w:sz w:val="32"/>
          <w:szCs w:val="32"/>
        </w:rPr>
        <w:pict w14:anchorId="65E92EB4">
          <v:rect id="Rectangle 2" o:spid="_x0000_s1026" style="position:absolute;left:0;text-align:left;margin-left:386.15pt;margin-top:-33.4pt;width:102.3pt;height:9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" stroked="f">
            <v:textbox style="mso-next-textbox:#Rectangle 2">
              <w:txbxContent>
                <w:p w14:paraId="73B02BCB" w14:textId="77777777" w:rsidR="00FD6213" w:rsidRDefault="00FD6213" w:rsidP="00FD6213">
                  <w:r>
                    <w:rPr>
                      <w:b/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 wp14:anchorId="488211D0" wp14:editId="40F23433">
                        <wp:extent cx="1019175" cy="1019175"/>
                        <wp:effectExtent l="19050" t="0" r="9525" b="0"/>
                        <wp:docPr id="1" name="Picture 1" descr="Gola_Rainforest_N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la_Rainforest_N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D6213" w:rsidRPr="006F775D">
        <w:rPr>
          <w:rFonts w:ascii="Arial" w:hAnsi="Arial" w:cs="Arial"/>
          <w:b/>
          <w:bCs/>
          <w:iCs/>
          <w:sz w:val="32"/>
          <w:szCs w:val="32"/>
        </w:rPr>
        <w:t xml:space="preserve">Gola Rainforest National Park </w:t>
      </w:r>
    </w:p>
    <w:p w14:paraId="6FCA28B5" w14:textId="77777777" w:rsidR="00FD6213" w:rsidRPr="005117FE" w:rsidRDefault="00FD6213" w:rsidP="00FD6213">
      <w:pPr>
        <w:spacing w:before="0" w:after="0"/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 xml:space="preserve">164 </w:t>
      </w:r>
      <w:proofErr w:type="spellStart"/>
      <w:r w:rsidRPr="005117FE">
        <w:rPr>
          <w:rFonts w:ascii="Arial" w:hAnsi="Arial" w:cs="Arial"/>
        </w:rPr>
        <w:t>Dama</w:t>
      </w:r>
      <w:proofErr w:type="spellEnd"/>
      <w:r w:rsidRPr="005117FE">
        <w:rPr>
          <w:rFonts w:ascii="Arial" w:hAnsi="Arial" w:cs="Arial"/>
        </w:rPr>
        <w:t xml:space="preserve"> Road, Kenema</w:t>
      </w:r>
    </w:p>
    <w:p w14:paraId="398891EE" w14:textId="77777777" w:rsidR="00FD6213" w:rsidRPr="005117FE" w:rsidRDefault="00FD6213" w:rsidP="00FD6213">
      <w:pPr>
        <w:spacing w:before="0" w:after="0"/>
        <w:jc w:val="center"/>
        <w:rPr>
          <w:rFonts w:ascii="Arial" w:hAnsi="Arial" w:cs="Arial"/>
        </w:rPr>
      </w:pPr>
      <w:r w:rsidRPr="005117FE">
        <w:rPr>
          <w:rFonts w:ascii="Arial" w:hAnsi="Arial" w:cs="Arial"/>
        </w:rPr>
        <w:t>Phone: 232</w:t>
      </w:r>
      <w:r w:rsidR="00FE177E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(0)76</w:t>
      </w:r>
      <w:r w:rsidR="00FE177E">
        <w:rPr>
          <w:rFonts w:ascii="Arial" w:hAnsi="Arial" w:cs="Arial"/>
        </w:rPr>
        <w:t xml:space="preserve"> </w:t>
      </w:r>
      <w:r w:rsidRPr="005117FE">
        <w:rPr>
          <w:rFonts w:ascii="Arial" w:hAnsi="Arial" w:cs="Arial"/>
        </w:rPr>
        <w:t>420418</w:t>
      </w:r>
    </w:p>
    <w:p w14:paraId="475319C6" w14:textId="77777777" w:rsidR="00FD6213" w:rsidRDefault="00FD6213" w:rsidP="00FD6213">
      <w:pPr>
        <w:spacing w:before="0" w:after="0"/>
        <w:jc w:val="center"/>
        <w:rPr>
          <w:rFonts w:ascii="Arial" w:hAnsi="Arial" w:cs="Arial"/>
          <w:lang w:val="de-DE"/>
        </w:rPr>
      </w:pPr>
      <w:r w:rsidRPr="005117FE">
        <w:rPr>
          <w:rFonts w:ascii="Arial" w:hAnsi="Arial" w:cs="Arial"/>
          <w:lang w:val="de-DE"/>
        </w:rPr>
        <w:t xml:space="preserve">E mail: </w:t>
      </w:r>
      <w:r w:rsidR="00662A06">
        <w:rPr>
          <w:rFonts w:ascii="Arial" w:hAnsi="Arial" w:cs="Arial"/>
          <w:lang w:val="de-DE"/>
        </w:rPr>
        <w:fldChar w:fldCharType="begin"/>
      </w:r>
      <w:r w:rsidR="0056484A">
        <w:rPr>
          <w:rFonts w:ascii="Arial" w:hAnsi="Arial" w:cs="Arial"/>
          <w:lang w:val="de-DE"/>
        </w:rPr>
        <w:instrText xml:space="preserve"> HYPERLINK "mailto:</w:instrText>
      </w:r>
      <w:r w:rsidR="0056484A" w:rsidRPr="0056484A">
        <w:rPr>
          <w:rFonts w:ascii="Arial" w:hAnsi="Arial" w:cs="Arial"/>
          <w:lang w:val="de-DE"/>
        </w:rPr>
        <w:instrText>info@golar</w:instrText>
      </w:r>
      <w:r w:rsidR="0056484A">
        <w:rPr>
          <w:rFonts w:ascii="Arial" w:hAnsi="Arial" w:cs="Arial"/>
          <w:lang w:val="de-DE"/>
        </w:rPr>
        <w:instrText xml:space="preserve">ainforest.org" </w:instrText>
      </w:r>
      <w:r w:rsidR="00662A06">
        <w:rPr>
          <w:rFonts w:ascii="Arial" w:hAnsi="Arial" w:cs="Arial"/>
          <w:lang w:val="de-DE"/>
        </w:rPr>
        <w:fldChar w:fldCharType="separate"/>
      </w:r>
      <w:r w:rsidR="0056484A" w:rsidRPr="0011610A">
        <w:rPr>
          <w:rStyle w:val="Hyperlink"/>
          <w:rFonts w:ascii="Arial" w:hAnsi="Arial" w:cs="Arial"/>
          <w:lang w:val="de-DE"/>
        </w:rPr>
        <w:t>info@golarainforest.org</w:t>
      </w:r>
      <w:r w:rsidR="00662A06">
        <w:rPr>
          <w:rFonts w:ascii="Arial" w:hAnsi="Arial" w:cs="Arial"/>
          <w:lang w:val="de-DE"/>
        </w:rPr>
        <w:fldChar w:fldCharType="end"/>
      </w:r>
    </w:p>
    <w:p w14:paraId="5A109140" w14:textId="77777777" w:rsidR="0056484A" w:rsidRPr="005117FE" w:rsidRDefault="0056484A" w:rsidP="00FD6213">
      <w:pPr>
        <w:spacing w:before="0" w:after="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www.golarainforest.org</w:t>
      </w:r>
    </w:p>
    <w:p w14:paraId="48A139AA" w14:textId="77777777" w:rsidR="00FD6213" w:rsidRPr="00B5206D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it-IT"/>
        </w:rPr>
      </w:pPr>
    </w:p>
    <w:p w14:paraId="6C2DFA6F" w14:textId="77777777" w:rsidR="00FD6213" w:rsidRPr="00B5206D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it-IT"/>
        </w:rPr>
      </w:pPr>
    </w:p>
    <w:p w14:paraId="3AED5FB2" w14:textId="77777777" w:rsidR="00FD6213" w:rsidRPr="00532B50" w:rsidRDefault="00170144" w:rsidP="0017014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532B50">
        <w:rPr>
          <w:rFonts w:ascii="Arial" w:hAnsi="Arial" w:cs="Arial"/>
          <w:b/>
          <w:bCs/>
          <w:sz w:val="28"/>
          <w:szCs w:val="28"/>
          <w:u w:val="single"/>
          <w:lang w:val="en-GB"/>
        </w:rPr>
        <w:t>Guidelines and Fees for Researchers</w:t>
      </w:r>
    </w:p>
    <w:p w14:paraId="3F7D14BE" w14:textId="77777777" w:rsidR="005117FE" w:rsidRPr="005117FE" w:rsidRDefault="005117FE" w:rsidP="0017014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C919823" w14:textId="77777777" w:rsidR="005117FE" w:rsidRPr="005117FE" w:rsidRDefault="009E0547" w:rsidP="00170144">
      <w:pPr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May 2018</w:t>
      </w:r>
    </w:p>
    <w:p w14:paraId="38864BC2" w14:textId="77777777" w:rsidR="00170144" w:rsidRDefault="00170144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</w:p>
    <w:p w14:paraId="1315318A" w14:textId="77777777" w:rsidR="00170144" w:rsidRDefault="00170144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</w:p>
    <w:p w14:paraId="2F1A295D" w14:textId="77777777" w:rsidR="00532B50" w:rsidRPr="005117FE" w:rsidRDefault="00532B50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</w:p>
    <w:p w14:paraId="19B1B166" w14:textId="77777777" w:rsidR="00FD6213" w:rsidRPr="005117FE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  <w:r w:rsidRPr="005117FE">
        <w:rPr>
          <w:rFonts w:ascii="Arial" w:hAnsi="Arial" w:cs="Arial"/>
          <w:b/>
          <w:bCs/>
          <w:lang w:val="en-GB"/>
        </w:rPr>
        <w:t xml:space="preserve">1) Contact with </w:t>
      </w:r>
      <w:r w:rsidR="005117FE">
        <w:rPr>
          <w:rFonts w:ascii="Arial" w:hAnsi="Arial" w:cs="Arial"/>
          <w:b/>
          <w:bCs/>
          <w:lang w:val="en-GB"/>
        </w:rPr>
        <w:t>the Gola Rainfo</w:t>
      </w:r>
      <w:r w:rsidR="00124C21">
        <w:rPr>
          <w:rFonts w:ascii="Arial" w:hAnsi="Arial" w:cs="Arial"/>
          <w:b/>
          <w:bCs/>
          <w:lang w:val="en-GB"/>
        </w:rPr>
        <w:t xml:space="preserve">rest </w:t>
      </w:r>
      <w:r w:rsidR="0056484A">
        <w:rPr>
          <w:rFonts w:ascii="Arial" w:hAnsi="Arial" w:cs="Arial"/>
          <w:b/>
          <w:bCs/>
          <w:lang w:val="en-GB"/>
        </w:rPr>
        <w:t>National Park (GRNP)</w:t>
      </w:r>
    </w:p>
    <w:p w14:paraId="50EF5D03" w14:textId="77777777" w:rsidR="005117FE" w:rsidRPr="005117FE" w:rsidRDefault="005117FE" w:rsidP="005117FE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09D01675" w14:textId="77777777" w:rsidR="005117FE" w:rsidRPr="005117FE" w:rsidRDefault="005117FE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5117FE">
        <w:rPr>
          <w:rFonts w:ascii="Arial" w:hAnsi="Arial" w:cs="Arial"/>
          <w:lang w:val="en-GB"/>
        </w:rPr>
        <w:t xml:space="preserve">Contact </w:t>
      </w:r>
      <w:r w:rsidR="001A24EA">
        <w:rPr>
          <w:rFonts w:ascii="Arial" w:hAnsi="Arial" w:cs="Arial"/>
          <w:lang w:val="en-GB"/>
        </w:rPr>
        <w:t xml:space="preserve">the </w:t>
      </w:r>
      <w:r w:rsidR="0056484A">
        <w:rPr>
          <w:rFonts w:ascii="Arial" w:hAnsi="Arial" w:cs="Arial"/>
          <w:lang w:val="en-GB"/>
        </w:rPr>
        <w:t>GRNP</w:t>
      </w:r>
      <w:r w:rsidR="00FD6213" w:rsidRPr="005117FE">
        <w:rPr>
          <w:rFonts w:ascii="Arial" w:hAnsi="Arial" w:cs="Arial"/>
          <w:lang w:val="en-GB"/>
        </w:rPr>
        <w:t xml:space="preserve"> at least 3 months prior to your</w:t>
      </w:r>
      <w:r w:rsidRPr="005117FE">
        <w:rPr>
          <w:rFonts w:ascii="Arial" w:hAnsi="Arial" w:cs="Arial"/>
          <w:lang w:val="en-GB"/>
        </w:rPr>
        <w:t xml:space="preserve"> planned visit. Please send an email to </w:t>
      </w:r>
      <w:hyperlink r:id="rId8" w:history="1">
        <w:r w:rsidR="0056484A" w:rsidRPr="0056484A">
          <w:rPr>
            <w:rStyle w:val="Hyperlink"/>
            <w:rFonts w:ascii="Arial" w:hAnsi="Arial" w:cs="Arial"/>
            <w:color w:val="auto"/>
            <w:lang w:val="de-DE"/>
          </w:rPr>
          <w:t>info@golarainforest.org</w:t>
        </w:r>
      </w:hyperlink>
      <w:r w:rsidR="0056484A">
        <w:rPr>
          <w:rFonts w:ascii="Arial" w:hAnsi="Arial" w:cs="Arial"/>
          <w:lang w:val="de-DE"/>
        </w:rPr>
        <w:t xml:space="preserve"> </w:t>
      </w:r>
      <w:r w:rsidR="009E25F1" w:rsidRPr="00590DAC">
        <w:rPr>
          <w:rFonts w:ascii="Arial" w:hAnsi="Arial" w:cs="Arial"/>
          <w:lang w:val="en-GB"/>
        </w:rPr>
        <w:t>and</w:t>
      </w:r>
      <w:r w:rsidR="009E25F1">
        <w:t xml:space="preserve"> </w:t>
      </w:r>
      <w:hyperlink r:id="rId9" w:history="1">
        <w:r w:rsidR="0056484A" w:rsidRPr="0056484A">
          <w:rPr>
            <w:rStyle w:val="Hyperlink"/>
            <w:rFonts w:ascii="Arial" w:hAnsi="Arial" w:cs="Arial"/>
            <w:color w:val="auto"/>
            <w:lang w:val="en-GB"/>
          </w:rPr>
          <w:t>benjamin.barca@rspb.org.uk</w:t>
        </w:r>
      </w:hyperlink>
      <w:r w:rsidRPr="00590DAC">
        <w:rPr>
          <w:rFonts w:ascii="Arial" w:hAnsi="Arial" w:cs="Arial"/>
          <w:lang w:val="en-GB"/>
        </w:rPr>
        <w:t xml:space="preserve"> </w:t>
      </w:r>
    </w:p>
    <w:p w14:paraId="0EFA3C3B" w14:textId="77777777" w:rsidR="005117FE" w:rsidRPr="005117FE" w:rsidRDefault="005117FE" w:rsidP="006B3E59">
      <w:pPr>
        <w:pStyle w:val="ListParagraph"/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</w:p>
    <w:p w14:paraId="30E55FFA" w14:textId="77777777" w:rsidR="005117FE" w:rsidRPr="005117FE" w:rsidRDefault="00FD6213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5117FE">
        <w:rPr>
          <w:rFonts w:ascii="Arial" w:hAnsi="Arial" w:cs="Arial"/>
          <w:lang w:val="en-GB"/>
        </w:rPr>
        <w:t>Please indicate that you plan to come for a research visit and give a rough</w:t>
      </w:r>
      <w:r w:rsidR="005117FE" w:rsidRPr="005117FE">
        <w:rPr>
          <w:rFonts w:ascii="Arial" w:hAnsi="Arial" w:cs="Arial"/>
          <w:lang w:val="en-GB"/>
        </w:rPr>
        <w:t xml:space="preserve"> </w:t>
      </w:r>
      <w:r w:rsidRPr="005117FE">
        <w:rPr>
          <w:rFonts w:ascii="Arial" w:hAnsi="Arial" w:cs="Arial"/>
          <w:lang w:val="en-GB"/>
        </w:rPr>
        <w:t>explanation or concept note</w:t>
      </w:r>
      <w:r w:rsidR="005117FE" w:rsidRPr="005117FE">
        <w:rPr>
          <w:rFonts w:ascii="Arial" w:hAnsi="Arial" w:cs="Arial"/>
          <w:lang w:val="en-GB"/>
        </w:rPr>
        <w:t xml:space="preserve"> </w:t>
      </w:r>
      <w:r w:rsidR="005117FE" w:rsidRPr="005117FE">
        <w:rPr>
          <w:rFonts w:ascii="Helvetica" w:hAnsi="Helvetica" w:cs="Helvetica"/>
          <w:lang w:val="en-GB"/>
        </w:rPr>
        <w:t>about your planned research activity.</w:t>
      </w:r>
    </w:p>
    <w:p w14:paraId="6A9FCAAA" w14:textId="77777777" w:rsidR="005117FE" w:rsidRPr="005117FE" w:rsidRDefault="005117FE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0F2EDB97" w14:textId="77777777" w:rsidR="001A24EA" w:rsidRDefault="00FD6213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5117FE">
        <w:rPr>
          <w:rFonts w:ascii="Arial" w:hAnsi="Arial" w:cs="Arial"/>
          <w:lang w:val="en-GB"/>
        </w:rPr>
        <w:t>Students performing research for their Bachelor, Master or PhD thesis are requested to</w:t>
      </w:r>
      <w:r w:rsidR="005117FE" w:rsidRPr="005117FE">
        <w:rPr>
          <w:rFonts w:ascii="Arial" w:hAnsi="Arial" w:cs="Arial"/>
          <w:lang w:val="en-GB"/>
        </w:rPr>
        <w:t xml:space="preserve"> </w:t>
      </w:r>
      <w:r w:rsidRPr="005117FE">
        <w:rPr>
          <w:rFonts w:ascii="Arial" w:hAnsi="Arial" w:cs="Arial"/>
          <w:lang w:val="en-GB"/>
        </w:rPr>
        <w:t xml:space="preserve">provide a letter from their supervisor, asking for permission to conduct research </w:t>
      </w:r>
      <w:r w:rsidR="00124C21">
        <w:rPr>
          <w:rFonts w:ascii="Arial" w:hAnsi="Arial" w:cs="Arial"/>
          <w:lang w:val="en-GB"/>
        </w:rPr>
        <w:t>at</w:t>
      </w:r>
      <w:r w:rsidRPr="005117FE">
        <w:rPr>
          <w:rFonts w:ascii="Arial" w:hAnsi="Arial" w:cs="Arial"/>
          <w:lang w:val="en-GB"/>
        </w:rPr>
        <w:t xml:space="preserve"> GRNP.</w:t>
      </w:r>
    </w:p>
    <w:p w14:paraId="13AADEB0" w14:textId="77777777" w:rsidR="001A24EA" w:rsidRPr="001A24EA" w:rsidRDefault="001A24EA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1D2DCD92" w14:textId="77777777" w:rsidR="006908C1" w:rsidRDefault="001A24EA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After a first review based on the information </w:t>
      </w:r>
      <w:r w:rsidR="00124C21">
        <w:rPr>
          <w:rFonts w:ascii="Arial" w:hAnsi="Arial" w:cs="Arial"/>
          <w:lang w:val="en-GB"/>
        </w:rPr>
        <w:t xml:space="preserve">provided </w:t>
      </w:r>
      <w:r w:rsidR="0056484A">
        <w:rPr>
          <w:rFonts w:ascii="Arial" w:hAnsi="Arial" w:cs="Arial"/>
          <w:lang w:val="en-GB"/>
        </w:rPr>
        <w:t>GRNP</w:t>
      </w:r>
      <w:r w:rsidR="00FD6213" w:rsidRPr="001A24EA">
        <w:rPr>
          <w:rFonts w:ascii="Arial" w:hAnsi="Arial" w:cs="Arial"/>
          <w:lang w:val="en-GB"/>
        </w:rPr>
        <w:t xml:space="preserve"> will provide a “Research</w:t>
      </w:r>
      <w:r w:rsidR="005117FE" w:rsidRPr="001A24EA">
        <w:rPr>
          <w:rFonts w:ascii="Arial" w:hAnsi="Arial" w:cs="Arial"/>
          <w:lang w:val="en-GB"/>
        </w:rPr>
        <w:t xml:space="preserve"> </w:t>
      </w:r>
      <w:r w:rsidR="00124C21">
        <w:rPr>
          <w:rFonts w:ascii="Arial" w:hAnsi="Arial" w:cs="Arial"/>
          <w:lang w:val="en-GB"/>
        </w:rPr>
        <w:t>Application Form</w:t>
      </w:r>
      <w:r w:rsidR="00365C83">
        <w:rPr>
          <w:rFonts w:ascii="Arial" w:hAnsi="Arial" w:cs="Arial"/>
          <w:lang w:val="en-GB"/>
        </w:rPr>
        <w:t>”</w:t>
      </w:r>
      <w:r w:rsidR="00124C21">
        <w:rPr>
          <w:rFonts w:ascii="Arial" w:hAnsi="Arial" w:cs="Arial"/>
          <w:lang w:val="en-GB"/>
        </w:rPr>
        <w:t xml:space="preserve"> (which also is available on the GRNP </w:t>
      </w:r>
      <w:r w:rsidR="00FD6213" w:rsidRPr="001A24EA">
        <w:rPr>
          <w:rFonts w:ascii="Arial" w:hAnsi="Arial" w:cs="Arial"/>
          <w:lang w:val="en-GB"/>
        </w:rPr>
        <w:t>homepage</w:t>
      </w:r>
      <w:r w:rsidR="00A0101F">
        <w:rPr>
          <w:rFonts w:ascii="Arial" w:hAnsi="Arial" w:cs="Arial"/>
          <w:lang w:val="en-GB"/>
        </w:rPr>
        <w:t xml:space="preserve"> </w:t>
      </w:r>
      <w:r w:rsidR="00A0101F" w:rsidRPr="00A0101F">
        <w:rPr>
          <w:rFonts w:ascii="Arial" w:hAnsi="Arial" w:cs="Arial"/>
          <w:u w:val="single"/>
          <w:lang w:val="en-GB"/>
        </w:rPr>
        <w:t>www.golarainforest.org</w:t>
      </w:r>
      <w:r w:rsidR="00FD6213" w:rsidRPr="001A24EA">
        <w:rPr>
          <w:rFonts w:ascii="Arial" w:hAnsi="Arial" w:cs="Arial"/>
          <w:lang w:val="en-GB"/>
        </w:rPr>
        <w:t>) that needs to be comp</w:t>
      </w:r>
      <w:r w:rsidR="00124C21">
        <w:rPr>
          <w:rFonts w:ascii="Arial" w:hAnsi="Arial" w:cs="Arial"/>
          <w:lang w:val="en-GB"/>
        </w:rPr>
        <w:t xml:space="preserve">leted and to be returned to </w:t>
      </w:r>
      <w:r w:rsidR="0056484A">
        <w:rPr>
          <w:rFonts w:ascii="Arial" w:hAnsi="Arial" w:cs="Arial"/>
          <w:lang w:val="en-GB"/>
        </w:rPr>
        <w:t>GRNP</w:t>
      </w:r>
      <w:r w:rsidR="00124C21">
        <w:rPr>
          <w:rFonts w:ascii="Arial" w:hAnsi="Arial" w:cs="Arial"/>
          <w:lang w:val="en-GB"/>
        </w:rPr>
        <w:t>.</w:t>
      </w:r>
    </w:p>
    <w:p w14:paraId="01342665" w14:textId="77777777" w:rsidR="006908C1" w:rsidRPr="006908C1" w:rsidRDefault="006908C1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48B1A7B0" w14:textId="77777777" w:rsidR="004E60B5" w:rsidRDefault="006908C1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GRNP</w:t>
      </w:r>
      <w:r w:rsidR="00FD6213" w:rsidRPr="006908C1">
        <w:rPr>
          <w:rFonts w:ascii="Arial" w:hAnsi="Arial" w:cs="Arial"/>
          <w:lang w:val="en-GB"/>
        </w:rPr>
        <w:t xml:space="preserve"> will evaluate the application and</w:t>
      </w:r>
      <w:r w:rsidR="005117FE" w:rsidRPr="006908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either grant permission, ask for </w:t>
      </w:r>
      <w:r w:rsidR="00FD6213" w:rsidRPr="006908C1">
        <w:rPr>
          <w:rFonts w:ascii="Arial" w:hAnsi="Arial" w:cs="Arial"/>
          <w:lang w:val="en-GB"/>
        </w:rPr>
        <w:t>amendments or reject the application (with</w:t>
      </w:r>
      <w:r w:rsidR="00A0101F">
        <w:rPr>
          <w:rFonts w:ascii="Arial" w:hAnsi="Arial" w:cs="Arial"/>
          <w:lang w:val="en-GB"/>
        </w:rPr>
        <w:t xml:space="preserve"> a detailed explanation for reasons) within 4</w:t>
      </w:r>
      <w:r w:rsidR="005117FE" w:rsidRPr="006908C1">
        <w:rPr>
          <w:rFonts w:ascii="Arial" w:hAnsi="Arial" w:cs="Arial"/>
          <w:lang w:val="en-GB"/>
        </w:rPr>
        <w:t xml:space="preserve"> </w:t>
      </w:r>
      <w:r w:rsidR="00FD6213" w:rsidRPr="006908C1">
        <w:rPr>
          <w:rFonts w:ascii="Arial" w:hAnsi="Arial" w:cs="Arial"/>
          <w:lang w:val="en-GB"/>
        </w:rPr>
        <w:t>weeks upon receipt of the proposal</w:t>
      </w:r>
      <w:r w:rsidR="00A0101F">
        <w:rPr>
          <w:rFonts w:ascii="Arial" w:hAnsi="Arial" w:cs="Arial"/>
          <w:lang w:val="en-GB"/>
        </w:rPr>
        <w:t>.</w:t>
      </w:r>
    </w:p>
    <w:p w14:paraId="627AF137" w14:textId="77777777" w:rsidR="004E60B5" w:rsidRPr="004E60B5" w:rsidRDefault="004E60B5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2184ADF7" w14:textId="77777777" w:rsidR="00A0101F" w:rsidRDefault="00A0101F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 projects will be evaluated based on their scientific quality, their relevance for the research strategy of the GRNP (Biodiversity Monitoring Plan for the Gola REDD project)</w:t>
      </w:r>
      <w:r w:rsidR="006B3E5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their ethics</w:t>
      </w:r>
      <w:r w:rsidR="006B3E59">
        <w:rPr>
          <w:rFonts w:ascii="Arial" w:hAnsi="Arial" w:cs="Arial"/>
          <w:lang w:val="en-GB"/>
        </w:rPr>
        <w:t xml:space="preserve"> and their feasibility considering available resources and potential conflicts with other research, training and management activities</w:t>
      </w:r>
      <w:r>
        <w:rPr>
          <w:rFonts w:ascii="Arial" w:hAnsi="Arial" w:cs="Arial"/>
          <w:lang w:val="en-GB"/>
        </w:rPr>
        <w:t xml:space="preserve">. </w:t>
      </w:r>
    </w:p>
    <w:p w14:paraId="7A128E2E" w14:textId="77777777" w:rsidR="00A0101F" w:rsidRPr="00A0101F" w:rsidRDefault="00A0101F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34E5766B" w14:textId="77777777" w:rsidR="00A0101F" w:rsidRDefault="00A0101F" w:rsidP="006B3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 projects involving unnecessary specimen collection, unnecessary</w:t>
      </w:r>
      <w:r w:rsidR="00532B50">
        <w:rPr>
          <w:rFonts w:ascii="Arial" w:hAnsi="Arial" w:cs="Arial"/>
          <w:lang w:val="en-GB"/>
        </w:rPr>
        <w:t xml:space="preserve"> interventions, killing of animals (except from single specimens for further investigations), unacceptable areas of inquiry (unethical), poorly thought through proposal</w:t>
      </w:r>
      <w:r w:rsidR="00667C6F">
        <w:rPr>
          <w:rFonts w:ascii="Arial" w:hAnsi="Arial" w:cs="Arial"/>
          <w:lang w:val="en-GB"/>
        </w:rPr>
        <w:t>s, poor research designs and demands</w:t>
      </w:r>
      <w:r w:rsidR="00532B50">
        <w:rPr>
          <w:rFonts w:ascii="Arial" w:hAnsi="Arial" w:cs="Arial"/>
          <w:lang w:val="en-GB"/>
        </w:rPr>
        <w:t xml:space="preserve"> </w:t>
      </w:r>
      <w:r w:rsidR="00667C6F">
        <w:rPr>
          <w:rFonts w:ascii="Arial" w:hAnsi="Arial" w:cs="Arial"/>
          <w:lang w:val="en-GB"/>
        </w:rPr>
        <w:t xml:space="preserve">for </w:t>
      </w:r>
      <w:r w:rsidR="00532B50">
        <w:rPr>
          <w:rFonts w:ascii="Arial" w:hAnsi="Arial" w:cs="Arial"/>
          <w:lang w:val="en-GB"/>
        </w:rPr>
        <w:t>too many resources</w:t>
      </w:r>
      <w:r w:rsidR="00667C6F">
        <w:rPr>
          <w:rFonts w:ascii="Arial" w:hAnsi="Arial" w:cs="Arial"/>
          <w:lang w:val="en-GB"/>
        </w:rPr>
        <w:t xml:space="preserve"> will not be considered. </w:t>
      </w:r>
    </w:p>
    <w:p w14:paraId="61FCBC83" w14:textId="77777777" w:rsidR="00A0101F" w:rsidRPr="00A0101F" w:rsidRDefault="00A0101F" w:rsidP="006B3E59">
      <w:pPr>
        <w:pStyle w:val="ListParagraph"/>
        <w:ind w:left="426" w:hanging="284"/>
        <w:rPr>
          <w:rFonts w:ascii="Arial" w:hAnsi="Arial" w:cs="Arial"/>
          <w:lang w:val="en-GB"/>
        </w:rPr>
      </w:pPr>
    </w:p>
    <w:p w14:paraId="37D8DF08" w14:textId="77777777" w:rsidR="00532B50" w:rsidRDefault="00532B50">
      <w:pPr>
        <w:spacing w:before="0"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5F10FE6" w14:textId="77777777" w:rsidR="00FD6213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  <w:r w:rsidRPr="005117FE">
        <w:rPr>
          <w:rFonts w:ascii="Arial" w:hAnsi="Arial" w:cs="Arial"/>
          <w:b/>
          <w:bCs/>
          <w:lang w:val="en-GB"/>
        </w:rPr>
        <w:lastRenderedPageBreak/>
        <w:t>2) Field work</w:t>
      </w:r>
    </w:p>
    <w:p w14:paraId="5BFBA3CC" w14:textId="77777777" w:rsidR="006B3E59" w:rsidRDefault="006B3E59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5FC7C09E" w14:textId="77777777" w:rsidR="006B3E59" w:rsidRDefault="00FD6213" w:rsidP="006B3E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Researchers are expected to inform GRNP adequately about plans and potential changes,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also giving information about support requested from GRNP.</w:t>
      </w:r>
    </w:p>
    <w:p w14:paraId="0D3562BD" w14:textId="77777777" w:rsidR="006B3E59" w:rsidRPr="006B3E59" w:rsidRDefault="006B3E59" w:rsidP="006B3E59">
      <w:pPr>
        <w:pStyle w:val="ListParagraph"/>
        <w:autoSpaceDE w:val="0"/>
        <w:autoSpaceDN w:val="0"/>
        <w:adjustRightInd w:val="0"/>
        <w:spacing w:before="0" w:after="0"/>
        <w:ind w:left="426"/>
        <w:rPr>
          <w:rFonts w:ascii="Arial" w:hAnsi="Arial" w:cs="Arial"/>
          <w:lang w:val="en-GB"/>
        </w:rPr>
      </w:pPr>
    </w:p>
    <w:p w14:paraId="5419B15E" w14:textId="77777777" w:rsidR="006B3E59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Researchers can request transport from and to the airport and to and from the field from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GRNP, paying a fee for fuel, maintenance, and the driver (please see rates in the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Appendix). However, vehicle and driver rental is subject to availability, based on other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project activities.</w:t>
      </w:r>
    </w:p>
    <w:p w14:paraId="78B652A3" w14:textId="77777777" w:rsidR="006B3E59" w:rsidRPr="006B3E59" w:rsidRDefault="006B3E59" w:rsidP="006B3E59">
      <w:pPr>
        <w:pStyle w:val="ListParagraph"/>
        <w:rPr>
          <w:rFonts w:ascii="Arial" w:hAnsi="Arial" w:cs="Arial"/>
          <w:lang w:val="en-GB"/>
        </w:rPr>
      </w:pPr>
    </w:p>
    <w:p w14:paraId="058D4236" w14:textId="77777777" w:rsidR="006B3E59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Researchers staying at GRNP for up to 2 weeks are paying a daily Research Fee and a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daily Park Entrance Fee. Researchers staying for more than 2 weeks are paying weekly or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monthly fees (please see rates in the Appendix).</w:t>
      </w:r>
    </w:p>
    <w:p w14:paraId="1731C2FF" w14:textId="77777777" w:rsidR="006B3E59" w:rsidRPr="006B3E59" w:rsidRDefault="006B3E59" w:rsidP="006B3E59">
      <w:pPr>
        <w:pStyle w:val="ListParagraph"/>
        <w:rPr>
          <w:rFonts w:ascii="Arial" w:hAnsi="Arial" w:cs="Arial"/>
          <w:lang w:val="en-GB"/>
        </w:rPr>
      </w:pPr>
    </w:p>
    <w:p w14:paraId="6B127F02" w14:textId="77777777" w:rsidR="006B3E59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In addition to mentioned fees (Appendix), researchers are encouraged to make a voluntary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financial distribution to the capacity building of GRNP staff (e.g. for training courses and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university degrees).</w:t>
      </w:r>
    </w:p>
    <w:p w14:paraId="3F9F6FC8" w14:textId="77777777" w:rsidR="006B3E59" w:rsidRPr="006B3E59" w:rsidRDefault="006B3E59" w:rsidP="006B3E59">
      <w:pPr>
        <w:pStyle w:val="ListParagraph"/>
        <w:rPr>
          <w:rFonts w:ascii="Arial" w:hAnsi="Arial" w:cs="Arial"/>
          <w:lang w:val="en-GB"/>
        </w:rPr>
      </w:pPr>
    </w:p>
    <w:p w14:paraId="62900F77" w14:textId="77777777" w:rsidR="006B3E59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Researchers are expected to involve and build the capacity of local staff members and to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involve local counterparts wherever possible and appropriate (local casual labourers,</w:t>
      </w:r>
      <w:r w:rsidR="006B3E59">
        <w:rPr>
          <w:rFonts w:ascii="Arial" w:hAnsi="Arial" w:cs="Arial"/>
          <w:lang w:val="en-GB"/>
        </w:rPr>
        <w:t xml:space="preserve"> Community Research Assistants, </w:t>
      </w:r>
      <w:r w:rsidRPr="006B3E59">
        <w:rPr>
          <w:rFonts w:ascii="Arial" w:hAnsi="Arial" w:cs="Arial"/>
          <w:lang w:val="en-GB"/>
        </w:rPr>
        <w:t xml:space="preserve">Research Technicians, students and lecturers from </w:t>
      </w:r>
      <w:proofErr w:type="spellStart"/>
      <w:r w:rsidRPr="006B3E59">
        <w:rPr>
          <w:rFonts w:ascii="Arial" w:hAnsi="Arial" w:cs="Arial"/>
          <w:lang w:val="en-GB"/>
        </w:rPr>
        <w:t>Njala</w:t>
      </w:r>
      <w:proofErr w:type="spellEnd"/>
      <w:r w:rsidRPr="006B3E59">
        <w:rPr>
          <w:rFonts w:ascii="Arial" w:hAnsi="Arial" w:cs="Arial"/>
          <w:lang w:val="en-GB"/>
        </w:rPr>
        <w:t xml:space="preserve"> University, the University of Sierra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Leone, or Eastern Polytechnic Kenema). Food for the local counterparts and labourers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needs to be provided as well as salaries where appropriate, following current GRNP rates</w:t>
      </w:r>
      <w:r w:rsidR="006B3E59">
        <w:rPr>
          <w:rFonts w:ascii="Arial" w:hAnsi="Arial" w:cs="Arial"/>
          <w:lang w:val="en-GB"/>
        </w:rPr>
        <w:t xml:space="preserve"> </w:t>
      </w:r>
      <w:r w:rsidRPr="006B3E59">
        <w:rPr>
          <w:rFonts w:ascii="Arial" w:hAnsi="Arial" w:cs="Arial"/>
          <w:lang w:val="en-GB"/>
        </w:rPr>
        <w:t>(please see rates in the Appendix).</w:t>
      </w:r>
    </w:p>
    <w:p w14:paraId="4BAE30D4" w14:textId="77777777" w:rsidR="006B3E59" w:rsidRPr="006B3E59" w:rsidRDefault="006B3E59" w:rsidP="006B3E59">
      <w:pPr>
        <w:pStyle w:val="ListParagraph"/>
        <w:rPr>
          <w:rFonts w:ascii="Arial" w:hAnsi="Arial" w:cs="Arial"/>
          <w:lang w:val="en-GB"/>
        </w:rPr>
      </w:pPr>
    </w:p>
    <w:p w14:paraId="749424BB" w14:textId="77777777" w:rsidR="00CF6398" w:rsidRDefault="00FD6213" w:rsidP="00CF63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6B3E59">
        <w:rPr>
          <w:rFonts w:ascii="Arial" w:hAnsi="Arial" w:cs="Arial"/>
          <w:lang w:val="en-GB"/>
        </w:rPr>
        <w:t>Researchers are expected to follow the GRNP “Code of Conduct for Researchers”, i.e.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following best scientific practice, to avoid any unnecessary collection of specimens,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damage and disturbance of the forest, and unnecessary manipulation of plants and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animals, as well as respectful interactions with local counterparts, community members and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villages, and health and safety rules for field work and camping</w:t>
      </w:r>
      <w:r w:rsidR="00CF6398">
        <w:rPr>
          <w:rFonts w:ascii="Arial" w:hAnsi="Arial" w:cs="Arial"/>
          <w:lang w:val="en-GB"/>
        </w:rPr>
        <w:t>.</w:t>
      </w:r>
    </w:p>
    <w:p w14:paraId="72521377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51C1AE0C" w14:textId="77777777" w:rsidR="00CF6398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t>Researchers are expected to follow the instructions given by GRNP authorities concerning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accommodation and the use of GRNP infrastructure.</w:t>
      </w:r>
    </w:p>
    <w:p w14:paraId="0E3ED8E8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1C13E7E4" w14:textId="77777777" w:rsidR="00CF6398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t>Upon arrival at GRNP, researchers are expected to complete a waiver form, also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requesting details of contacts persons and insurance for emergency cases.</w:t>
      </w:r>
    </w:p>
    <w:p w14:paraId="42B3E4BA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0A5A97AE" w14:textId="77777777" w:rsidR="00FD6213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t>Researchers are expected to bring their own tents and camping equipment. However, some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basic equipment can be borrowed or leased from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GRNP if available.</w:t>
      </w:r>
    </w:p>
    <w:p w14:paraId="50799519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6359C456" w14:textId="77777777" w:rsidR="00CF6398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t>GRNP is not authorised to issue any export permit</w:t>
      </w:r>
      <w:r w:rsidR="00B14A9B">
        <w:rPr>
          <w:rFonts w:ascii="Arial" w:hAnsi="Arial" w:cs="Arial"/>
          <w:lang w:val="en-GB"/>
        </w:rPr>
        <w:t>s</w:t>
      </w:r>
      <w:r w:rsidRPr="00CF6398">
        <w:rPr>
          <w:rFonts w:ascii="Arial" w:hAnsi="Arial" w:cs="Arial"/>
          <w:lang w:val="en-GB"/>
        </w:rPr>
        <w:t>. This authority lies solely with the</w:t>
      </w:r>
      <w:r w:rsidR="00CF6398">
        <w:rPr>
          <w:rFonts w:ascii="Arial" w:hAnsi="Arial" w:cs="Arial"/>
          <w:lang w:val="en-GB"/>
        </w:rPr>
        <w:t xml:space="preserve"> National Protected Areas Authority (NPAA) </w:t>
      </w:r>
      <w:r w:rsidRPr="00CF6398">
        <w:rPr>
          <w:rFonts w:ascii="Arial" w:hAnsi="Arial" w:cs="Arial"/>
          <w:lang w:val="en-GB"/>
        </w:rPr>
        <w:t xml:space="preserve">of the Ministry of Agriculture, </w:t>
      </w:r>
      <w:r w:rsidR="00B14A9B">
        <w:rPr>
          <w:rFonts w:ascii="Arial" w:hAnsi="Arial" w:cs="Arial"/>
          <w:lang w:val="en-GB"/>
        </w:rPr>
        <w:t>Forestry and Food Security (MAFFS)</w:t>
      </w:r>
      <w:r w:rsidRPr="00CF6398">
        <w:rPr>
          <w:rFonts w:ascii="Arial" w:hAnsi="Arial" w:cs="Arial"/>
          <w:lang w:val="en-GB"/>
        </w:rPr>
        <w:t>. However, if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specimens have to be collected and exported, which must be clearly stated in the research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application, a list of specimens has to be provided to GRNP before the researcher’s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departure. Exceptionally, in case of unacceptable interference with limited time for field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work, GRNP can assist with sending the necessary documentation for export permits to the</w:t>
      </w:r>
      <w:r w:rsidR="00CF6398">
        <w:rPr>
          <w:rFonts w:ascii="Arial" w:hAnsi="Arial" w:cs="Arial"/>
          <w:lang w:val="en-GB"/>
        </w:rPr>
        <w:t xml:space="preserve"> NPAA</w:t>
      </w:r>
      <w:r w:rsidRPr="00CF6398">
        <w:rPr>
          <w:rFonts w:ascii="Arial" w:hAnsi="Arial" w:cs="Arial"/>
          <w:lang w:val="en-GB"/>
        </w:rPr>
        <w:t xml:space="preserve">. The procedure for export permits follows instructions of the </w:t>
      </w:r>
      <w:r w:rsidR="00CF6398">
        <w:rPr>
          <w:rFonts w:ascii="Arial" w:hAnsi="Arial" w:cs="Arial"/>
          <w:lang w:val="en-GB"/>
        </w:rPr>
        <w:t>NPAA</w:t>
      </w:r>
      <w:r w:rsidR="00B14A9B">
        <w:rPr>
          <w:rFonts w:ascii="Arial" w:hAnsi="Arial" w:cs="Arial"/>
          <w:lang w:val="en-GB"/>
        </w:rPr>
        <w:t xml:space="preserve"> (to be obtained directly from the NPAA)</w:t>
      </w:r>
      <w:r w:rsidRPr="005117FE">
        <w:rPr>
          <w:rFonts w:ascii="Arial" w:hAnsi="Arial" w:cs="Arial"/>
          <w:lang w:val="en-GB"/>
        </w:rPr>
        <w:t xml:space="preserve">. The list of specimens has to be sent to the </w:t>
      </w:r>
      <w:r w:rsidR="00CF6398">
        <w:rPr>
          <w:rFonts w:ascii="Arial" w:hAnsi="Arial" w:cs="Arial"/>
          <w:lang w:val="en-GB"/>
        </w:rPr>
        <w:t>NPAA</w:t>
      </w:r>
      <w:r w:rsidRPr="005117FE">
        <w:rPr>
          <w:rFonts w:ascii="Arial" w:hAnsi="Arial" w:cs="Arial"/>
          <w:lang w:val="en-GB"/>
        </w:rPr>
        <w:t xml:space="preserve"> at least 4 days prior t</w:t>
      </w:r>
      <w:r w:rsidR="00CF6398">
        <w:rPr>
          <w:rFonts w:ascii="Arial" w:hAnsi="Arial" w:cs="Arial"/>
          <w:lang w:val="en-GB"/>
        </w:rPr>
        <w:t xml:space="preserve">o </w:t>
      </w:r>
      <w:r w:rsidRPr="00CF6398">
        <w:rPr>
          <w:rFonts w:ascii="Arial" w:hAnsi="Arial" w:cs="Arial"/>
          <w:lang w:val="en-GB"/>
        </w:rPr>
        <w:t>the researcher’s departure.</w:t>
      </w:r>
    </w:p>
    <w:p w14:paraId="05CDF26F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48DA41F9" w14:textId="77777777" w:rsidR="00CF6398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t>Researchers are strongly encouraged to give a presentation about their research project</w:t>
      </w:r>
      <w:r w:rsidR="00CF6398">
        <w:rPr>
          <w:rFonts w:ascii="Arial" w:hAnsi="Arial" w:cs="Arial"/>
          <w:lang w:val="en-GB"/>
        </w:rPr>
        <w:t xml:space="preserve"> </w:t>
      </w:r>
      <w:r w:rsidRPr="00CF6398">
        <w:rPr>
          <w:rFonts w:ascii="Arial" w:hAnsi="Arial" w:cs="Arial"/>
          <w:lang w:val="en-GB"/>
        </w:rPr>
        <w:t>prior or after the field work to the GRNP staff.</w:t>
      </w:r>
    </w:p>
    <w:p w14:paraId="7821C964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4337FCA9" w14:textId="77777777" w:rsidR="00CF6398" w:rsidRDefault="00FD6213" w:rsidP="00FD62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CF6398">
        <w:rPr>
          <w:rFonts w:ascii="Arial" w:hAnsi="Arial" w:cs="Arial"/>
          <w:lang w:val="en-GB"/>
        </w:rPr>
        <w:lastRenderedPageBreak/>
        <w:t xml:space="preserve">Researchers are expected to provide Pdf versions of relevant publications for the </w:t>
      </w:r>
      <w:r w:rsidR="00CF6398">
        <w:rPr>
          <w:rFonts w:ascii="Arial" w:hAnsi="Arial" w:cs="Arial"/>
          <w:lang w:val="en-GB"/>
        </w:rPr>
        <w:t xml:space="preserve">GRNP </w:t>
      </w:r>
      <w:r w:rsidRPr="00CF6398">
        <w:rPr>
          <w:rFonts w:ascii="Arial" w:hAnsi="Arial" w:cs="Arial"/>
          <w:lang w:val="en-GB"/>
        </w:rPr>
        <w:t>library</w:t>
      </w:r>
      <w:r w:rsidR="00B14A9B">
        <w:rPr>
          <w:rFonts w:ascii="Arial" w:hAnsi="Arial" w:cs="Arial"/>
          <w:lang w:val="en-GB"/>
        </w:rPr>
        <w:t>.</w:t>
      </w:r>
    </w:p>
    <w:p w14:paraId="55E4B8A2" w14:textId="77777777" w:rsidR="00CF6398" w:rsidRPr="00CF6398" w:rsidRDefault="00CF6398" w:rsidP="00CF6398">
      <w:pPr>
        <w:pStyle w:val="ListParagraph"/>
        <w:rPr>
          <w:rFonts w:ascii="Arial" w:hAnsi="Arial" w:cs="Arial"/>
          <w:lang w:val="en-GB"/>
        </w:rPr>
      </w:pPr>
    </w:p>
    <w:p w14:paraId="428C0581" w14:textId="77777777" w:rsidR="00FD6213" w:rsidRPr="00CF6398" w:rsidRDefault="00FD6213" w:rsidP="00CF6398">
      <w:pPr>
        <w:pStyle w:val="ListParagraph"/>
        <w:autoSpaceDE w:val="0"/>
        <w:autoSpaceDN w:val="0"/>
        <w:adjustRightInd w:val="0"/>
        <w:spacing w:before="0" w:after="0"/>
        <w:ind w:left="426"/>
        <w:rPr>
          <w:rFonts w:ascii="Arial" w:hAnsi="Arial" w:cs="Arial"/>
          <w:lang w:val="en-GB"/>
        </w:rPr>
      </w:pPr>
    </w:p>
    <w:p w14:paraId="10BBF9DC" w14:textId="77777777" w:rsidR="00FD6213" w:rsidRPr="005117FE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  <w:r w:rsidRPr="005117FE">
        <w:rPr>
          <w:rFonts w:ascii="Arial" w:hAnsi="Arial" w:cs="Arial"/>
          <w:b/>
          <w:bCs/>
          <w:lang w:val="en-GB"/>
        </w:rPr>
        <w:t>3) After the field work</w:t>
      </w:r>
    </w:p>
    <w:p w14:paraId="166D3827" w14:textId="77777777" w:rsidR="00B14A9B" w:rsidRDefault="00B14A9B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770FF1BA" w14:textId="77777777" w:rsidR="00FD6213" w:rsidRDefault="00FD6213" w:rsidP="00B14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B14A9B">
        <w:rPr>
          <w:rFonts w:ascii="Arial" w:hAnsi="Arial" w:cs="Arial"/>
          <w:lang w:val="en-GB"/>
        </w:rPr>
        <w:t>After completion of the work, visiting researchers are required to provide a copy of their</w:t>
      </w:r>
      <w:r w:rsidR="00B14A9B" w:rsidRPr="00B14A9B">
        <w:rPr>
          <w:rFonts w:ascii="Arial" w:hAnsi="Arial" w:cs="Arial"/>
          <w:lang w:val="en-GB"/>
        </w:rPr>
        <w:t xml:space="preserve"> </w:t>
      </w:r>
      <w:r w:rsidRPr="00B14A9B">
        <w:rPr>
          <w:rFonts w:ascii="Arial" w:hAnsi="Arial" w:cs="Arial"/>
          <w:lang w:val="en-GB"/>
        </w:rPr>
        <w:t>report within a period of 6 months, as well as species lists, if possible with coordinates for</w:t>
      </w:r>
      <w:r w:rsidR="00B14A9B" w:rsidRPr="00B14A9B">
        <w:rPr>
          <w:rFonts w:ascii="Arial" w:hAnsi="Arial" w:cs="Arial"/>
          <w:lang w:val="en-GB"/>
        </w:rPr>
        <w:t xml:space="preserve"> </w:t>
      </w:r>
      <w:r w:rsidR="00B14A9B">
        <w:rPr>
          <w:rFonts w:ascii="Arial" w:hAnsi="Arial" w:cs="Arial"/>
          <w:lang w:val="en-GB"/>
        </w:rPr>
        <w:t>species encounters.</w:t>
      </w:r>
    </w:p>
    <w:p w14:paraId="39B96A4D" w14:textId="77777777" w:rsidR="00B14A9B" w:rsidRPr="00B14A9B" w:rsidRDefault="00B14A9B" w:rsidP="00B14A9B">
      <w:pPr>
        <w:pStyle w:val="ListParagraph"/>
        <w:autoSpaceDE w:val="0"/>
        <w:autoSpaceDN w:val="0"/>
        <w:adjustRightInd w:val="0"/>
        <w:spacing w:before="0" w:after="0"/>
        <w:ind w:left="426"/>
        <w:rPr>
          <w:rFonts w:ascii="Arial" w:hAnsi="Arial" w:cs="Arial"/>
          <w:lang w:val="en-GB"/>
        </w:rPr>
      </w:pPr>
    </w:p>
    <w:p w14:paraId="192FDE06" w14:textId="77777777" w:rsidR="00FD6213" w:rsidRPr="00B14A9B" w:rsidRDefault="00FD6213" w:rsidP="00B14A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left="426" w:hanging="284"/>
        <w:rPr>
          <w:rFonts w:ascii="Arial" w:hAnsi="Arial" w:cs="Arial"/>
          <w:lang w:val="en-GB"/>
        </w:rPr>
      </w:pPr>
      <w:r w:rsidRPr="00B14A9B">
        <w:rPr>
          <w:rFonts w:ascii="Arial" w:hAnsi="Arial" w:cs="Arial"/>
          <w:lang w:val="en-GB"/>
        </w:rPr>
        <w:t>It is required that GRNP is acknowledged in all reports and publications and in case GRNP</w:t>
      </w:r>
      <w:r w:rsidR="00B14A9B">
        <w:rPr>
          <w:rFonts w:ascii="Arial" w:hAnsi="Arial" w:cs="Arial"/>
          <w:lang w:val="en-GB"/>
        </w:rPr>
        <w:t xml:space="preserve"> </w:t>
      </w:r>
      <w:r w:rsidRPr="00B14A9B">
        <w:rPr>
          <w:rFonts w:ascii="Arial" w:hAnsi="Arial" w:cs="Arial"/>
          <w:lang w:val="en-GB"/>
        </w:rPr>
        <w:t>staff members significantly contributed, a co-authorship should be discussed.</w:t>
      </w:r>
    </w:p>
    <w:p w14:paraId="5C653BAF" w14:textId="77777777" w:rsidR="00B14A9B" w:rsidRDefault="00B14A9B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32AF888F" w14:textId="77777777" w:rsidR="00B14A9B" w:rsidRDefault="00B14A9B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1316A394" w14:textId="77777777" w:rsidR="00B14A9B" w:rsidRDefault="00B14A9B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668E1F22" w14:textId="77777777" w:rsidR="00B14A9B" w:rsidRDefault="00B14A9B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754D484B" w14:textId="77777777" w:rsidR="00B14A9B" w:rsidRDefault="00B14A9B">
      <w:pPr>
        <w:spacing w:before="0" w:after="200" w:line="276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30DB697F" w14:textId="77777777" w:rsidR="00FD6213" w:rsidRPr="005117FE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lang w:val="en-GB"/>
        </w:rPr>
      </w:pPr>
      <w:r w:rsidRPr="005117FE">
        <w:rPr>
          <w:rFonts w:ascii="Arial" w:hAnsi="Arial" w:cs="Arial"/>
          <w:b/>
          <w:bCs/>
          <w:lang w:val="en-GB"/>
        </w:rPr>
        <w:lastRenderedPageBreak/>
        <w:t>Appendix</w:t>
      </w:r>
    </w:p>
    <w:p w14:paraId="6C6AF78A" w14:textId="77777777" w:rsidR="00172124" w:rsidRDefault="00172124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5EA75122" w14:textId="77777777" w:rsidR="0038318E" w:rsidRDefault="00FD6213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lang w:val="en-GB"/>
        </w:rPr>
      </w:pPr>
      <w:r w:rsidRPr="0038318E">
        <w:rPr>
          <w:rFonts w:ascii="Arial" w:hAnsi="Arial" w:cs="Arial"/>
          <w:b/>
          <w:lang w:val="en-GB"/>
        </w:rPr>
        <w:t>Interim rates for researchers visiting Gola Rainforest National P</w:t>
      </w:r>
      <w:r w:rsidR="0038318E" w:rsidRPr="0038318E">
        <w:rPr>
          <w:rFonts w:ascii="Arial" w:hAnsi="Arial" w:cs="Arial"/>
          <w:b/>
          <w:lang w:val="en-GB"/>
        </w:rPr>
        <w:t xml:space="preserve">ark </w:t>
      </w:r>
    </w:p>
    <w:p w14:paraId="53E063AF" w14:textId="77777777" w:rsidR="00FD6213" w:rsidRPr="0038318E" w:rsidRDefault="00567AAA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(Valid from 1 January 201</w:t>
      </w:r>
      <w:r w:rsidR="006E649B">
        <w:rPr>
          <w:rFonts w:ascii="Arial" w:hAnsi="Arial" w:cs="Arial"/>
          <w:lang w:val="en-GB"/>
        </w:rPr>
        <w:t>8</w:t>
      </w:r>
      <w:r w:rsidR="0038318E" w:rsidRPr="0038318E">
        <w:rPr>
          <w:rFonts w:ascii="Arial" w:hAnsi="Arial" w:cs="Arial"/>
          <w:lang w:val="en-GB"/>
        </w:rPr>
        <w:t>).</w:t>
      </w:r>
      <w:r w:rsidR="002E53D7">
        <w:rPr>
          <w:rFonts w:ascii="Arial" w:hAnsi="Arial" w:cs="Arial"/>
          <w:lang w:val="en-GB"/>
        </w:rPr>
        <w:t xml:space="preserve"> Local salaries are subject to changes linked to the GRNP policy.</w:t>
      </w:r>
    </w:p>
    <w:p w14:paraId="625D24B6" w14:textId="77777777" w:rsidR="00172124" w:rsidRDefault="00172124" w:rsidP="00FD6213">
      <w:pPr>
        <w:autoSpaceDE w:val="0"/>
        <w:autoSpaceDN w:val="0"/>
        <w:adjustRightInd w:val="0"/>
        <w:spacing w:before="0" w:after="0"/>
        <w:rPr>
          <w:rFonts w:ascii="Arial" w:hAnsi="Arial" w:cs="Arial"/>
          <w:lang w:val="en-GB"/>
        </w:rPr>
      </w:pPr>
    </w:p>
    <w:p w14:paraId="2A5648CA" w14:textId="77777777" w:rsidR="0038318E" w:rsidRDefault="0038318E" w:rsidP="0038318E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417"/>
        <w:gridCol w:w="1196"/>
      </w:tblGrid>
      <w:tr w:rsidR="00172124" w:rsidRPr="0038318E" w14:paraId="3B46D61C" w14:textId="77777777" w:rsidTr="0038318E">
        <w:tc>
          <w:tcPr>
            <w:tcW w:w="3510" w:type="dxa"/>
          </w:tcPr>
          <w:p w14:paraId="4B332BB9" w14:textId="77777777" w:rsidR="00172124" w:rsidRPr="0038318E" w:rsidRDefault="00172124" w:rsidP="0038318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14:paraId="052136D8" w14:textId="77777777" w:rsidR="00172124" w:rsidRPr="0038318E" w:rsidRDefault="00172124" w:rsidP="003831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sz w:val="20"/>
                <w:szCs w:val="20"/>
              </w:rPr>
              <w:t>International Researcher</w:t>
            </w:r>
          </w:p>
        </w:tc>
        <w:tc>
          <w:tcPr>
            <w:tcW w:w="1559" w:type="dxa"/>
            <w:vAlign w:val="center"/>
          </w:tcPr>
          <w:p w14:paraId="6641BFC1" w14:textId="77777777" w:rsidR="00172124" w:rsidRPr="0038318E" w:rsidRDefault="00172124" w:rsidP="003831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sz w:val="20"/>
                <w:szCs w:val="20"/>
              </w:rPr>
              <w:t>International Student</w:t>
            </w:r>
          </w:p>
        </w:tc>
        <w:tc>
          <w:tcPr>
            <w:tcW w:w="1417" w:type="dxa"/>
            <w:vAlign w:val="center"/>
          </w:tcPr>
          <w:p w14:paraId="03662D4D" w14:textId="77777777" w:rsidR="00172124" w:rsidRPr="0038318E" w:rsidRDefault="00172124" w:rsidP="003831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sz w:val="20"/>
                <w:szCs w:val="20"/>
              </w:rPr>
              <w:t>National Researcher</w:t>
            </w:r>
          </w:p>
        </w:tc>
        <w:tc>
          <w:tcPr>
            <w:tcW w:w="1196" w:type="dxa"/>
            <w:vAlign w:val="center"/>
          </w:tcPr>
          <w:p w14:paraId="01E4A2D1" w14:textId="77777777" w:rsidR="00172124" w:rsidRPr="0038318E" w:rsidRDefault="00172124" w:rsidP="0038318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sz w:val="20"/>
                <w:szCs w:val="20"/>
              </w:rPr>
              <w:t>National Student</w:t>
            </w:r>
          </w:p>
        </w:tc>
      </w:tr>
      <w:tr w:rsidR="00172124" w:rsidRPr="0038318E" w14:paraId="37C72951" w14:textId="77777777" w:rsidTr="0038318E">
        <w:tc>
          <w:tcPr>
            <w:tcW w:w="3510" w:type="dxa"/>
          </w:tcPr>
          <w:p w14:paraId="2790D421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Park Entrance Fee</w:t>
            </w:r>
          </w:p>
          <w:p w14:paraId="7A26CC4D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(up to a period of 14 days)</w:t>
            </w:r>
          </w:p>
        </w:tc>
        <w:tc>
          <w:tcPr>
            <w:tcW w:w="1560" w:type="dxa"/>
            <w:vAlign w:val="center"/>
          </w:tcPr>
          <w:p w14:paraId="3D78AFC4" w14:textId="77777777" w:rsidR="00172124" w:rsidRPr="0038318E" w:rsidRDefault="002F077A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59FBCD8A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2C091115" w14:textId="77777777" w:rsidR="00172124" w:rsidRPr="0038318E" w:rsidRDefault="002F077A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00/day/</w:t>
            </w:r>
          </w:p>
          <w:p w14:paraId="72E12652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428813DF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796F240E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2124" w:rsidRPr="0038318E" w14:paraId="3FD786C4" w14:textId="77777777" w:rsidTr="0038318E">
        <w:tc>
          <w:tcPr>
            <w:tcW w:w="3510" w:type="dxa"/>
          </w:tcPr>
          <w:p w14:paraId="6E88E88E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Park Entrance Fee</w:t>
            </w:r>
          </w:p>
          <w:p w14:paraId="154E9184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(for period of 15 days to 1 month)</w:t>
            </w:r>
          </w:p>
        </w:tc>
        <w:tc>
          <w:tcPr>
            <w:tcW w:w="1560" w:type="dxa"/>
            <w:vAlign w:val="center"/>
          </w:tcPr>
          <w:p w14:paraId="0231273C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2F077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32BAD7B4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44F1E2FE" w14:textId="77777777" w:rsidR="00172124" w:rsidRPr="0038318E" w:rsidRDefault="002F077A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903291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00/day/</w:t>
            </w:r>
          </w:p>
          <w:p w14:paraId="0E9E0983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5FDF94E5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1F5FF8C6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2124" w:rsidRPr="0038318E" w14:paraId="201A62D3" w14:textId="77777777" w:rsidTr="0038318E">
        <w:tc>
          <w:tcPr>
            <w:tcW w:w="3510" w:type="dxa"/>
          </w:tcPr>
          <w:p w14:paraId="4A59E7F1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Park Entrance Fee</w:t>
            </w:r>
          </w:p>
          <w:p w14:paraId="7623E11D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(for period of more than 1 month)</w:t>
            </w:r>
          </w:p>
        </w:tc>
        <w:tc>
          <w:tcPr>
            <w:tcW w:w="1560" w:type="dxa"/>
            <w:vAlign w:val="center"/>
          </w:tcPr>
          <w:p w14:paraId="59800A33" w14:textId="77777777" w:rsidR="00172124" w:rsidRPr="0038318E" w:rsidRDefault="002F077A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,000/week/</w:t>
            </w:r>
          </w:p>
          <w:p w14:paraId="20141953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3E1C53FA" w14:textId="77777777" w:rsidR="00172124" w:rsidRPr="0038318E" w:rsidRDefault="002F077A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172124" w:rsidRPr="0038318E">
              <w:rPr>
                <w:rFonts w:ascii="Arial" w:hAnsi="Arial" w:cs="Arial"/>
                <w:sz w:val="20"/>
                <w:szCs w:val="20"/>
                <w:lang w:val="en-GB"/>
              </w:rPr>
              <w:t>5,000/week/</w:t>
            </w:r>
          </w:p>
          <w:p w14:paraId="5FCE7AF4" w14:textId="77777777" w:rsidR="00172124" w:rsidRPr="0038318E" w:rsidRDefault="00172124" w:rsidP="003831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0F4FDA61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057978C2" w14:textId="77777777" w:rsidR="00172124" w:rsidRPr="0038318E" w:rsidRDefault="00276909" w:rsidP="0038318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7211FFB7" w14:textId="77777777" w:rsidTr="0038318E">
        <w:tc>
          <w:tcPr>
            <w:tcW w:w="3510" w:type="dxa"/>
          </w:tcPr>
          <w:p w14:paraId="2F4E02E8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Research Fee</w:t>
            </w:r>
          </w:p>
          <w:p w14:paraId="5ED25858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(up to a period of 14 days)</w:t>
            </w:r>
          </w:p>
        </w:tc>
        <w:tc>
          <w:tcPr>
            <w:tcW w:w="1560" w:type="dxa"/>
            <w:vAlign w:val="center"/>
          </w:tcPr>
          <w:p w14:paraId="46940E8C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38FEDDE3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24931CD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00/day/</w:t>
            </w:r>
          </w:p>
          <w:p w14:paraId="3AC53F1D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3C13166C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435013BD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2E7A5684" w14:textId="77777777" w:rsidTr="0038318E">
        <w:tc>
          <w:tcPr>
            <w:tcW w:w="3510" w:type="dxa"/>
          </w:tcPr>
          <w:p w14:paraId="378C095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Research Fee</w:t>
            </w:r>
          </w:p>
          <w:p w14:paraId="124E2964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(for period of 15 days to 1 month)</w:t>
            </w:r>
          </w:p>
        </w:tc>
        <w:tc>
          <w:tcPr>
            <w:tcW w:w="1560" w:type="dxa"/>
            <w:vAlign w:val="center"/>
          </w:tcPr>
          <w:p w14:paraId="5B96A74F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3D9D749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5C8DA39C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00/day/</w:t>
            </w:r>
          </w:p>
          <w:p w14:paraId="40CA75B5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32127905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09B98D9C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231967A9" w14:textId="77777777" w:rsidTr="0038318E">
        <w:tc>
          <w:tcPr>
            <w:tcW w:w="3510" w:type="dxa"/>
          </w:tcPr>
          <w:p w14:paraId="2655CC50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Research Fee</w:t>
            </w:r>
          </w:p>
          <w:p w14:paraId="448BE20B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(for period of more than 1 month)</w:t>
            </w:r>
          </w:p>
        </w:tc>
        <w:tc>
          <w:tcPr>
            <w:tcW w:w="1560" w:type="dxa"/>
            <w:vAlign w:val="center"/>
          </w:tcPr>
          <w:p w14:paraId="456B96B0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,000/week/</w:t>
            </w:r>
          </w:p>
          <w:p w14:paraId="4B80BDD8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24FFF47E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5,000/week/</w:t>
            </w:r>
          </w:p>
          <w:p w14:paraId="0A534444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376EAAE9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6" w:type="dxa"/>
            <w:vAlign w:val="center"/>
          </w:tcPr>
          <w:p w14:paraId="2B9F8E0E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37A1F634" w14:textId="77777777" w:rsidTr="0038318E">
        <w:tc>
          <w:tcPr>
            <w:tcW w:w="3510" w:type="dxa"/>
          </w:tcPr>
          <w:p w14:paraId="20AA7731" w14:textId="77777777" w:rsidR="002F077A" w:rsidRPr="0038318E" w:rsidRDefault="002F077A" w:rsidP="002F07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 of GRNP car</w:t>
            </w:r>
          </w:p>
        </w:tc>
        <w:tc>
          <w:tcPr>
            <w:tcW w:w="5732" w:type="dxa"/>
            <w:gridSpan w:val="4"/>
            <w:vAlign w:val="center"/>
          </w:tcPr>
          <w:p w14:paraId="46AB6080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 3,0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00 per kilometre (fuel and maintenance)</w:t>
            </w:r>
          </w:p>
        </w:tc>
      </w:tr>
      <w:tr w:rsidR="002F077A" w:rsidRPr="0038318E" w14:paraId="5FB5B2CF" w14:textId="77777777" w:rsidTr="0038318E">
        <w:tc>
          <w:tcPr>
            <w:tcW w:w="3510" w:type="dxa"/>
          </w:tcPr>
          <w:p w14:paraId="5B6EEB5A" w14:textId="77777777" w:rsidR="002F077A" w:rsidRPr="0038318E" w:rsidRDefault="002F077A" w:rsidP="002F07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 of GRNP driver</w:t>
            </w:r>
          </w:p>
        </w:tc>
        <w:tc>
          <w:tcPr>
            <w:tcW w:w="5732" w:type="dxa"/>
            <w:gridSpan w:val="4"/>
            <w:vAlign w:val="center"/>
          </w:tcPr>
          <w:p w14:paraId="4947B9F4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 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0,000/day/driver (includes food)</w:t>
            </w:r>
          </w:p>
        </w:tc>
      </w:tr>
      <w:tr w:rsidR="002F077A" w:rsidRPr="0038318E" w14:paraId="2BD49827" w14:textId="77777777" w:rsidTr="0038318E">
        <w:tc>
          <w:tcPr>
            <w:tcW w:w="3510" w:type="dxa"/>
          </w:tcPr>
          <w:p w14:paraId="5899A1FD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Accommodation at GRNP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facilities/ g</w:t>
            </w: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uesthouse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the field</w:t>
            </w:r>
          </w:p>
        </w:tc>
        <w:tc>
          <w:tcPr>
            <w:tcW w:w="1560" w:type="dxa"/>
            <w:vAlign w:val="center"/>
          </w:tcPr>
          <w:p w14:paraId="18E84B3E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229B455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39BF0C5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</w:t>
            </w:r>
          </w:p>
          <w:p w14:paraId="71485BBC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417" w:type="dxa"/>
            <w:vAlign w:val="center"/>
          </w:tcPr>
          <w:p w14:paraId="7FF4331B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0,000/day/</w:t>
            </w:r>
          </w:p>
          <w:p w14:paraId="56597DBB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196" w:type="dxa"/>
            <w:vAlign w:val="center"/>
          </w:tcPr>
          <w:p w14:paraId="42395091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079EAE05" w14:textId="77777777" w:rsidTr="0038318E">
        <w:tc>
          <w:tcPr>
            <w:tcW w:w="3510" w:type="dxa"/>
          </w:tcPr>
          <w:p w14:paraId="15DDE2F7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Accommodation at GRNP guesthouse in Kenema (max 2 people)</w:t>
            </w:r>
          </w:p>
        </w:tc>
        <w:tc>
          <w:tcPr>
            <w:tcW w:w="1560" w:type="dxa"/>
            <w:vAlign w:val="center"/>
          </w:tcPr>
          <w:p w14:paraId="7C58EC8D" w14:textId="77777777" w:rsidR="002F077A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200,000/day/</w:t>
            </w:r>
          </w:p>
          <w:p w14:paraId="7A77E0B8" w14:textId="77777777" w:rsidR="002F077A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1559" w:type="dxa"/>
            <w:vAlign w:val="center"/>
          </w:tcPr>
          <w:p w14:paraId="63F4EAA7" w14:textId="77777777" w:rsidR="002F077A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150,000/day/ person</w:t>
            </w:r>
          </w:p>
        </w:tc>
        <w:tc>
          <w:tcPr>
            <w:tcW w:w="1417" w:type="dxa"/>
            <w:vAlign w:val="center"/>
          </w:tcPr>
          <w:p w14:paraId="45DAF397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100,000/day/person</w:t>
            </w:r>
          </w:p>
        </w:tc>
        <w:tc>
          <w:tcPr>
            <w:tcW w:w="1196" w:type="dxa"/>
            <w:vAlign w:val="center"/>
          </w:tcPr>
          <w:p w14:paraId="7BBFC969" w14:textId="77777777" w:rsidR="002F077A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077A" w:rsidRPr="0038318E" w14:paraId="1461B9E9" w14:textId="77777777" w:rsidTr="0038318E">
        <w:tc>
          <w:tcPr>
            <w:tcW w:w="3510" w:type="dxa"/>
          </w:tcPr>
          <w:p w14:paraId="6D86A671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GRNP Research Technician</w:t>
            </w:r>
          </w:p>
          <w:p w14:paraId="61AC38D5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Cs/>
                <w:sz w:val="20"/>
                <w:szCs w:val="20"/>
                <w:lang w:val="en-GB"/>
              </w:rPr>
              <w:t>At least 1 Research Technician or 1 Community Research Assistant required for all research trips</w:t>
            </w:r>
          </w:p>
        </w:tc>
        <w:tc>
          <w:tcPr>
            <w:tcW w:w="5732" w:type="dxa"/>
            <w:gridSpan w:val="4"/>
            <w:vAlign w:val="center"/>
          </w:tcPr>
          <w:p w14:paraId="270D1FEB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 xml:space="preserve">,000/day/Research </w:t>
            </w:r>
            <w:proofErr w:type="gramStart"/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Technician(</w:t>
            </w:r>
            <w:proofErr w:type="gramEnd"/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excl. food)</w:t>
            </w:r>
          </w:p>
          <w:p w14:paraId="3D8E3A5C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+ fuel for motorbike to/from site</w:t>
            </w:r>
          </w:p>
        </w:tc>
      </w:tr>
      <w:tr w:rsidR="002F077A" w:rsidRPr="0038318E" w14:paraId="3C3C2C3B" w14:textId="77777777" w:rsidTr="00567AAA">
        <w:tc>
          <w:tcPr>
            <w:tcW w:w="3510" w:type="dxa"/>
          </w:tcPr>
          <w:p w14:paraId="0425D4FF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Community Research Assistant</w:t>
            </w:r>
          </w:p>
          <w:p w14:paraId="3A68FAB3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(skilled community labour)</w:t>
            </w:r>
          </w:p>
        </w:tc>
        <w:tc>
          <w:tcPr>
            <w:tcW w:w="5732" w:type="dxa"/>
            <w:gridSpan w:val="4"/>
            <w:vAlign w:val="center"/>
          </w:tcPr>
          <w:p w14:paraId="68668A7A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,000/day/Field Assistant (excl. food)</w:t>
            </w:r>
          </w:p>
          <w:p w14:paraId="40DB6846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77A" w:rsidRPr="0038318E" w14:paraId="5591A12F" w14:textId="77777777" w:rsidTr="00567AAA">
        <w:tc>
          <w:tcPr>
            <w:tcW w:w="3510" w:type="dxa"/>
          </w:tcPr>
          <w:p w14:paraId="6B79B55D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Community</w:t>
            </w:r>
          </w:p>
          <w:p w14:paraId="372F9A23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Guide/Porter/Cook</w:t>
            </w:r>
          </w:p>
          <w:p w14:paraId="3838F32D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 Community guide or cook required for all research trips</w:t>
            </w:r>
          </w:p>
        </w:tc>
        <w:tc>
          <w:tcPr>
            <w:tcW w:w="5732" w:type="dxa"/>
            <w:gridSpan w:val="4"/>
            <w:vAlign w:val="center"/>
          </w:tcPr>
          <w:p w14:paraId="7BD5E39B" w14:textId="19E2B666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5206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bookmarkStart w:id="0" w:name="_GoBack"/>
            <w:bookmarkEnd w:id="0"/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,000/day/guide (excl. food)</w:t>
            </w:r>
          </w:p>
          <w:p w14:paraId="57899E7A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77A" w:rsidRPr="0038318E" w14:paraId="1FE8CEB0" w14:textId="77777777" w:rsidTr="00567AAA">
        <w:tc>
          <w:tcPr>
            <w:tcW w:w="3510" w:type="dxa"/>
          </w:tcPr>
          <w:p w14:paraId="4EE1735F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Community Guide/Porter</w:t>
            </w:r>
          </w:p>
          <w:p w14:paraId="3A13E18C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 Community guide required</w:t>
            </w:r>
          </w:p>
          <w:p w14:paraId="27C09020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for all research trips</w:t>
            </w:r>
          </w:p>
          <w:p w14:paraId="2165F46B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(for daily distances of more</w:t>
            </w:r>
          </w:p>
          <w:p w14:paraId="5F5E69B6" w14:textId="77777777" w:rsidR="002F077A" w:rsidRPr="0038318E" w:rsidRDefault="002F077A" w:rsidP="002F07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than 15 km)</w:t>
            </w:r>
          </w:p>
        </w:tc>
        <w:tc>
          <w:tcPr>
            <w:tcW w:w="5732" w:type="dxa"/>
            <w:gridSpan w:val="4"/>
            <w:vAlign w:val="center"/>
          </w:tcPr>
          <w:p w14:paraId="440A57D7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-20,</w:t>
            </w:r>
            <w:r w:rsidRPr="0038318E">
              <w:rPr>
                <w:rFonts w:ascii="Arial" w:hAnsi="Arial" w:cs="Arial"/>
                <w:sz w:val="20"/>
                <w:szCs w:val="20"/>
                <w:lang w:val="en-GB"/>
              </w:rPr>
              <w:t>000/day/guide (excl. food)</w:t>
            </w:r>
          </w:p>
          <w:p w14:paraId="5BD89C16" w14:textId="77777777" w:rsidR="002F077A" w:rsidRPr="0038318E" w:rsidRDefault="002F077A" w:rsidP="002F077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DEF7C" w14:textId="77777777" w:rsidR="00172124" w:rsidRPr="005117FE" w:rsidRDefault="00172124" w:rsidP="00FD6213">
      <w:pPr>
        <w:rPr>
          <w:rFonts w:ascii="Arial" w:hAnsi="Arial" w:cs="Arial"/>
        </w:rPr>
      </w:pPr>
    </w:p>
    <w:sectPr w:rsidR="00172124" w:rsidRPr="005117FE" w:rsidSect="00B97B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500A" w14:textId="77777777" w:rsidR="00285495" w:rsidRDefault="00285495" w:rsidP="00903291">
      <w:pPr>
        <w:spacing w:before="0" w:after="0"/>
      </w:pPr>
      <w:r>
        <w:separator/>
      </w:r>
    </w:p>
  </w:endnote>
  <w:endnote w:type="continuationSeparator" w:id="0">
    <w:p w14:paraId="2BE14212" w14:textId="77777777" w:rsidR="00285495" w:rsidRDefault="00285495" w:rsidP="009032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23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EFF5A1B" w14:textId="77777777" w:rsidR="00903291" w:rsidRPr="00903291" w:rsidRDefault="00662A0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03291">
          <w:rPr>
            <w:rFonts w:ascii="Arial" w:hAnsi="Arial" w:cs="Arial"/>
            <w:sz w:val="20"/>
            <w:szCs w:val="20"/>
          </w:rPr>
          <w:fldChar w:fldCharType="begin"/>
        </w:r>
        <w:r w:rsidR="00903291" w:rsidRPr="009032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03291">
          <w:rPr>
            <w:rFonts w:ascii="Arial" w:hAnsi="Arial" w:cs="Arial"/>
            <w:sz w:val="20"/>
            <w:szCs w:val="20"/>
          </w:rPr>
          <w:fldChar w:fldCharType="separate"/>
        </w:r>
        <w:r w:rsidR="00567AAA">
          <w:rPr>
            <w:rFonts w:ascii="Arial" w:hAnsi="Arial" w:cs="Arial"/>
            <w:noProof/>
            <w:sz w:val="20"/>
            <w:szCs w:val="20"/>
          </w:rPr>
          <w:t>4</w:t>
        </w:r>
        <w:r w:rsidRPr="009032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3089A2" w14:textId="77777777" w:rsidR="00903291" w:rsidRDefault="0090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826A" w14:textId="77777777" w:rsidR="00285495" w:rsidRDefault="00285495" w:rsidP="00903291">
      <w:pPr>
        <w:spacing w:before="0" w:after="0"/>
      </w:pPr>
      <w:r>
        <w:separator/>
      </w:r>
    </w:p>
  </w:footnote>
  <w:footnote w:type="continuationSeparator" w:id="0">
    <w:p w14:paraId="114A46BA" w14:textId="77777777" w:rsidR="00285495" w:rsidRDefault="00285495" w:rsidP="009032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7F5C"/>
    <w:multiLevelType w:val="hybridMultilevel"/>
    <w:tmpl w:val="8FC02C8E"/>
    <w:lvl w:ilvl="0" w:tplc="CD56E71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629"/>
    <w:multiLevelType w:val="hybridMultilevel"/>
    <w:tmpl w:val="909894FC"/>
    <w:lvl w:ilvl="0" w:tplc="CD56E71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2F3E"/>
    <w:multiLevelType w:val="hybridMultilevel"/>
    <w:tmpl w:val="57024E5C"/>
    <w:lvl w:ilvl="0" w:tplc="CD56E71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213"/>
    <w:rsid w:val="00124C21"/>
    <w:rsid w:val="00170144"/>
    <w:rsid w:val="00172124"/>
    <w:rsid w:val="001A24EA"/>
    <w:rsid w:val="002100DF"/>
    <w:rsid w:val="00276909"/>
    <w:rsid w:val="00285495"/>
    <w:rsid w:val="002E53D7"/>
    <w:rsid w:val="002F077A"/>
    <w:rsid w:val="0032456D"/>
    <w:rsid w:val="00365C83"/>
    <w:rsid w:val="00373FA9"/>
    <w:rsid w:val="0038318E"/>
    <w:rsid w:val="003F65AC"/>
    <w:rsid w:val="004E60B5"/>
    <w:rsid w:val="005117FE"/>
    <w:rsid w:val="00532B50"/>
    <w:rsid w:val="00563CB1"/>
    <w:rsid w:val="0056484A"/>
    <w:rsid w:val="00567AAA"/>
    <w:rsid w:val="00590DAC"/>
    <w:rsid w:val="005A5904"/>
    <w:rsid w:val="00662A06"/>
    <w:rsid w:val="00667B09"/>
    <w:rsid w:val="00667C6F"/>
    <w:rsid w:val="006908C1"/>
    <w:rsid w:val="006B3E59"/>
    <w:rsid w:val="006E649B"/>
    <w:rsid w:val="006F775D"/>
    <w:rsid w:val="007260FE"/>
    <w:rsid w:val="00726574"/>
    <w:rsid w:val="00787509"/>
    <w:rsid w:val="007E1F4C"/>
    <w:rsid w:val="00800364"/>
    <w:rsid w:val="00891E37"/>
    <w:rsid w:val="00903291"/>
    <w:rsid w:val="00905559"/>
    <w:rsid w:val="009871DD"/>
    <w:rsid w:val="009E0547"/>
    <w:rsid w:val="009E25F1"/>
    <w:rsid w:val="00A0101F"/>
    <w:rsid w:val="00A7278F"/>
    <w:rsid w:val="00B14A9B"/>
    <w:rsid w:val="00B5206D"/>
    <w:rsid w:val="00B97BAC"/>
    <w:rsid w:val="00BB2BC6"/>
    <w:rsid w:val="00BC53B6"/>
    <w:rsid w:val="00CA0903"/>
    <w:rsid w:val="00CF6398"/>
    <w:rsid w:val="00DA75DC"/>
    <w:rsid w:val="00F94294"/>
    <w:rsid w:val="00FC1AE4"/>
    <w:rsid w:val="00FD6213"/>
    <w:rsid w:val="00FE177E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7A71820"/>
  <w15:docId w15:val="{D679CEE7-5F7E-4C4C-9783-D923019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13"/>
    <w:pPr>
      <w:spacing w:before="120" w:after="12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1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6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6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7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29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2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29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32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arainfor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njamin.barca@rsp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AnnikaHillers</dc:creator>
  <cp:lastModifiedBy>Benjamin Barca</cp:lastModifiedBy>
  <cp:revision>4</cp:revision>
  <dcterms:created xsi:type="dcterms:W3CDTF">2018-05-10T15:25:00Z</dcterms:created>
  <dcterms:modified xsi:type="dcterms:W3CDTF">2018-10-09T13:12:00Z</dcterms:modified>
</cp:coreProperties>
</file>